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 xml:space="preserve">Applied </w:t>
            </w:r>
            <w:r w:rsidR="00AE5280">
              <w:rPr>
                <w:rFonts w:asciiTheme="majorHAnsi" w:hAnsiTheme="majorHAnsi" w:cs="Arial"/>
                <w:b/>
                <w:sz w:val="18"/>
                <w:szCs w:val="18"/>
              </w:rPr>
              <w:t>inorganic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E6700">
              <w:rPr>
                <w:rFonts w:asciiTheme="majorHAnsi" w:hAnsiTheme="majorHAnsi" w:cs="Arial"/>
                <w:b/>
                <w:sz w:val="18"/>
                <w:szCs w:val="18"/>
              </w:rPr>
              <w:t>AC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E6700">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F039BA">
                    <w:rPr>
                      <w:rFonts w:asciiTheme="majorHAnsi" w:hAnsiTheme="majorHAnsi" w:cs="Arial"/>
                      <w:b/>
                      <w:sz w:val="18"/>
                      <w:szCs w:val="18"/>
                    </w:rPr>
                  </w:r>
                  <w:r w:rsidR="00F039BA">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E6700">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56</w:t>
            </w:r>
            <w:r w:rsidR="00AE5280">
              <w:rPr>
                <w:rFonts w:asciiTheme="majorHAnsi" w:hAnsiTheme="majorHAnsi"/>
                <w:b/>
                <w:sz w:val="18"/>
                <w:szCs w:val="18"/>
              </w:rPr>
              <w:t>,</w:t>
            </w:r>
            <w:r w:rsidR="005E6700">
              <w:rPr>
                <w:rFonts w:asciiTheme="majorHAnsi" w:hAnsiTheme="majorHAnsi"/>
                <w:b/>
                <w:sz w:val="18"/>
                <w:szCs w:val="18"/>
              </w:rPr>
              <w:t>2</w:t>
            </w:r>
            <w:r w:rsidR="00AE5280">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E670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93</w:t>
            </w:r>
            <w:r w:rsidR="00AE5280">
              <w:rPr>
                <w:rFonts w:asciiTheme="majorHAnsi" w:hAnsiTheme="majorHAnsi"/>
                <w:b/>
                <w:sz w:val="18"/>
                <w:szCs w:val="18"/>
              </w:rPr>
              <w:t>,</w:t>
            </w:r>
            <w:r w:rsidR="005E6700">
              <w:rPr>
                <w:rFonts w:asciiTheme="majorHAnsi" w:hAnsiTheme="majorHAnsi"/>
                <w:b/>
                <w:sz w:val="18"/>
                <w:szCs w:val="18"/>
              </w:rPr>
              <w:t>86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E670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150</w:t>
            </w:r>
            <w:r w:rsidR="00AE5280">
              <w:rPr>
                <w:rFonts w:asciiTheme="majorHAnsi" w:hAnsiTheme="majorHAnsi" w:cs="Arial"/>
                <w:b/>
                <w:sz w:val="18"/>
                <w:szCs w:val="18"/>
              </w:rPr>
              <w:t>,</w:t>
            </w:r>
            <w:r w:rsidR="005E6700">
              <w:rPr>
                <w:rFonts w:asciiTheme="majorHAnsi" w:hAnsiTheme="majorHAnsi" w:cs="Arial"/>
                <w:b/>
                <w:sz w:val="18"/>
                <w:szCs w:val="18"/>
              </w:rPr>
              <w:t>11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chemistry/Environmetal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sidRPr="00AE5280">
              <w:rPr>
                <w:rFonts w:asciiTheme="majorHAnsi" w:hAnsiTheme="majorHAnsi" w:cs="Arial"/>
                <w:b/>
                <w:sz w:val="18"/>
                <w:szCs w:val="18"/>
              </w:rPr>
              <w:t xml:space="preserve">Dr.sci. Aldina Kesić, </w:t>
            </w:r>
            <w:r w:rsidR="00AE5280">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6700" w:rsidRPr="005E6700"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Introduction to polymer materials and their properties and structures. Processing and research of new inorganic polymers with improved characteristics. Study of additives to inorganic polymers.</w:t>
            </w:r>
          </w:p>
          <w:p w:rsidR="00CB72ED" w:rsidRPr="00B96B4F"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lastRenderedPageBreak/>
              <w:t>Introduction to inorganic nanomaterials; assumptions for their use and development. - Improve skills related to individual and team/group work, - Improve students' skills related to continuous work throughout the year and to take an active part in all teaching activities and obligations from the very beginning of the course and achieve two-way communication with the teacher/assistant.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At the end of the semester/course, successful students, who have continuously performed their duties throughout the entire teaching period, will be able to: o use available literature related to solving various problems of this course; o solve problems of varying complexity individually or in a team and present them in written or verbal form; o understand the importance of this course in solving various problems in practice; o pass the final exam in the first exam periods at the end of the semester.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6700" w:rsidRPr="005E6700"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 xml:space="preserve">Biomaterials, biogenic materials and biomineralization. </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Nanomaterials, inorganic nanomaterials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Properties of nanomaterials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Fullerenes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Nanoparticles, nanofibers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Inorganic-organic hybrid polymers, properties and application</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Inorganic polymers, elastomers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Structure, properties and application</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Polysiloxanes (silicones) Properties, modifications and application</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Polyphosphazene</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Polysilanes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 xml:space="preserve">Polycarbosilanes </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Template materials</w:t>
            </w:r>
          </w:p>
          <w:p w:rsidR="00CB72ED" w:rsidRPr="00B96B4F"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Ceramic materials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In order to efficiently deliver teaching and achieve the expected course objectives and student competencies at the end of the semester, various teaching methods are used during the course: - lectures (L) using multimedia tools, active learning techniques and with active student participation and discussions; - laboratory exercises - consultations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Students' knowledge is checked using the following methods: tests - partial exams, seminar work and final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Tests: maximum 30 points.</w:t>
            </w:r>
          </w:p>
          <w:p w:rsid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-Seminar paper from the course area: </w:t>
            </w:r>
            <w:r w:rsidR="00B066A5">
              <w:rPr>
                <w:rFonts w:asciiTheme="majorHAnsi" w:hAnsiTheme="majorHAnsi" w:cs="Arial"/>
                <w:b/>
                <w:sz w:val="18"/>
                <w:szCs w:val="18"/>
              </w:rPr>
              <w:t>1</w:t>
            </w:r>
            <w:r w:rsidRPr="00677554">
              <w:rPr>
                <w:rFonts w:asciiTheme="majorHAnsi" w:hAnsiTheme="majorHAnsi" w:cs="Arial"/>
                <w:b/>
                <w:sz w:val="18"/>
                <w:szCs w:val="18"/>
              </w:rPr>
              <w:t>0 points</w:t>
            </w:r>
          </w:p>
          <w:p w:rsidR="00B066A5" w:rsidRPr="00677554" w:rsidRDefault="00B066A5" w:rsidP="00677554">
            <w:pPr>
              <w:pStyle w:val="NoSpacing"/>
              <w:rPr>
                <w:rFonts w:asciiTheme="majorHAnsi" w:hAnsiTheme="majorHAnsi" w:cs="Arial"/>
                <w:b/>
                <w:sz w:val="18"/>
                <w:szCs w:val="18"/>
              </w:rPr>
            </w:pPr>
            <w:r>
              <w:rPr>
                <w:rFonts w:asciiTheme="majorHAnsi" w:hAnsiTheme="majorHAnsi" w:cs="Arial"/>
                <w:b/>
                <w:sz w:val="18"/>
                <w:szCs w:val="18"/>
              </w:rPr>
              <w:t>-Activity  and presence 10 point</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Knowledge is checked through a seminar, two tests and the final part of the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Knowledge check - criteria</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Criterion Maximum number of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1 and test 2 30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50</w:t>
            </w:r>
          </w:p>
          <w:p w:rsid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Seminars </w:t>
            </w:r>
            <w:r w:rsidR="00B066A5">
              <w:rPr>
                <w:rFonts w:asciiTheme="majorHAnsi" w:hAnsiTheme="majorHAnsi" w:cs="Arial"/>
                <w:b/>
                <w:sz w:val="18"/>
                <w:szCs w:val="18"/>
              </w:rPr>
              <w:t>1</w:t>
            </w:r>
            <w:r w:rsidRPr="00677554">
              <w:rPr>
                <w:rFonts w:asciiTheme="majorHAnsi" w:hAnsiTheme="majorHAnsi" w:cs="Arial"/>
                <w:b/>
                <w:sz w:val="18"/>
                <w:szCs w:val="18"/>
              </w:rPr>
              <w:t>0</w:t>
            </w:r>
          </w:p>
          <w:p w:rsidR="00B066A5" w:rsidRPr="00677554"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Activity  and presence 10 point</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A total of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066A5" w:rsidRPr="00B066A5" w:rsidRDefault="006D5B9B" w:rsidP="00B066A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066A5" w:rsidRPr="00B066A5">
              <w:rPr>
                <w:rFonts w:asciiTheme="majorHAnsi" w:hAnsiTheme="majorHAnsi" w:cs="Arial"/>
                <w:b/>
                <w:sz w:val="18"/>
                <w:szCs w:val="18"/>
              </w:rPr>
              <w:t>1. U. Schubert, N. Hüsing: Synthesis of Inorganic Materials, Wiley- WCH, 2012.</w:t>
            </w:r>
          </w:p>
          <w:p w:rsidR="00CB72ED" w:rsidRPr="00B96B4F"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2. C. S.S. R. Kumar: Biological and Pharmaceutical Nanomaterials, Wiley- WCH, 2006. 3. J. Ramsden: Essentials of nanotechnology, Ventus Publishing, 2009 4.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066A5" w:rsidRPr="00B066A5" w:rsidRDefault="006D5B9B" w:rsidP="00B066A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066A5" w:rsidRPr="00B066A5">
              <w:rPr>
                <w:rFonts w:asciiTheme="majorHAnsi" w:hAnsiTheme="majorHAnsi" w:cs="Arial"/>
                <w:b/>
                <w:sz w:val="18"/>
                <w:szCs w:val="18"/>
              </w:rPr>
              <w:t xml:space="preserve">1. C. S.S. R. Kumar: Biological and Pharmaceutical Nanomaterials, Wiley- WCH, 2006. </w:t>
            </w:r>
          </w:p>
          <w:p w:rsidR="00B066A5" w:rsidRPr="00B066A5"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 xml:space="preserve">2. J. Ramsden: Essentials of nanotechnology, Ventus Publishing, 2009 </w:t>
            </w:r>
          </w:p>
          <w:p w:rsidR="00CB72ED" w:rsidRPr="00B96B4F"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3.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9BA" w:rsidRDefault="00F039BA">
      <w:pPr>
        <w:spacing w:line="240" w:lineRule="auto"/>
      </w:pPr>
      <w:r>
        <w:separator/>
      </w:r>
    </w:p>
  </w:endnote>
  <w:endnote w:type="continuationSeparator" w:id="0">
    <w:p w:rsidR="00F039BA" w:rsidRDefault="00F03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E65C4">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16425">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16425">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9BA" w:rsidRDefault="00F039BA">
      <w:pPr>
        <w:spacing w:after="0"/>
      </w:pPr>
      <w:r>
        <w:separator/>
      </w:r>
    </w:p>
  </w:footnote>
  <w:footnote w:type="continuationSeparator" w:id="0">
    <w:p w:rsidR="00F039BA" w:rsidRDefault="00F039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16425"/>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C4"/>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39BA"/>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2E15D-0293-40BC-A482-ABBB2A91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2026-03-13T09:39:00Z</dcterms:created>
  <dcterms:modified xsi:type="dcterms:W3CDTF">2026-03-13T09:39:00Z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